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00"/>
        <w:jc w:val="center"/>
      </w:pPr>
      <w:r>
        <w:rPr>
          <w:rFonts w:ascii="Arial" w:hAnsi="Arial"/>
          <w:b/>
          <w:bCs/>
          <w:color w:val="355E2B"/>
          <w:sz w:val="28"/>
          <w:szCs w:val="34"/>
        </w:rPr>
        <w:t xml:space="preserve">PROTOCOLO METODOLÓGICO</w:t>
      </w:r>
    </w:p>
    <w:p>
      <w:pPr>
        <w:spacing w:after="100"/>
        <w:jc w:val="center"/>
      </w:pPr>
      <w:r>
        <w:rPr>
          <w:rFonts w:ascii="Arial" w:hAnsi="Arial"/>
          <w:b/>
          <w:bCs/>
          <w:sz w:val="26"/>
          <w:szCs w:val="26"/>
        </w:rPr>
        <w:t xml:space="preserve">Estudo de Validade de Conteúdo do Processo Avaliativo em Musicoterapia (PAM)</w:t>
      </w:r>
    </w:p>
    <w:p>
      <w:pPr>
        <w:jc w:val="center"/>
      </w:pPr>
      <w:r>
        <w:rPr>
          <w:i/>
          <w:color w:val="595959"/>
          <w:sz w:val="16"/>
        </w:rPr>
        <w:t>Versão 1.2.9 — 25 de agosto de 2026</w:t>
      </w:r>
    </w:p>
    <w:p>
      <w:pPr>
        <w:spacing w:after="400"/>
        <w:jc w:val="center"/>
      </w:pPr>
      <w:r>
        <w:rPr>
          <w:rFonts w:ascii="Arial" w:hAnsi="Arial"/>
          <w:i/>
          <w:iCs/>
          <w:color w:val="555555"/>
          <w:sz w:val="22"/>
          <w:szCs w:val="22"/>
        </w:rPr>
        <w:t xml:space="preserve">Etapa 1 da sequência de validação científica do PAM — baseada nos princípios COSMIN</w:t>
      </w:r>
    </w:p>
    <w:p>
      <w:pPr>
        <w:pStyle w:val="Heading1"/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1. Identificação do estudo</w:t>
      </w:r>
    </w:p>
    <w:p>
      <w:pPr>
        <w:spacing w:after="160"/>
      </w:pPr>
      <w:r>
        <w:rPr>
          <w:rFonts w:ascii="Arial" w:hAnsi="Arial"/>
          <w:sz w:val="20"/>
        </w:rPr>
        <w:t xml:space="preserve">Instrumento avaliado: Processo Avaliativo em Musicoterapia (PAM) — sistema integrado de avaliação, planejamento, intervenção, monitoramento e análise de resultados na prática clínica musicoterapêutica, composto por 90 habilidades organizadas em 15 competências e 3 segmentos (Habilidades Básicas, Segmento Vocal e Segmento Social).</w:t>
      </w:r>
    </w:p>
    <w:p>
      <w:pPr>
        <w:spacing w:after="160"/>
      </w:pPr>
      <w:r>
        <w:rPr>
          <w:rFonts w:ascii="Arial" w:hAnsi="Arial"/>
          <w:sz w:val="20"/>
        </w:rPr>
        <w:t xml:space="preserve">Etapa da validação: Validade de conteúdo (relevância, abrangência e compreensibilidade), primeira etapa da sequência de estudos de propriedades de medida planejada para o PAM.</w:t>
      </w:r>
    </w:p>
    <w:p>
      <w:pPr>
        <w:spacing w:after="160"/>
      </w:pPr>
      <w:r>
        <w:rPr>
          <w:rFonts w:ascii="Arial" w:hAnsi="Arial"/>
          <w:sz w:val="20"/>
        </w:rPr>
        <w:t xml:space="preserve">Referencial metodológico: princípios do COSMIN (Consensus-based Standards for the selection of health Measurement Instruments) para avaliação de validade de conteúdo de instrumentos de medida em saúde, utilizados para orientar — e não para reproduzir integralmente — o desenho deste estudo.</w:t>
      </w:r>
    </w:p>
    <w:p>
      <w:pPr>
        <w:pStyle w:val="Heading1"/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2. Objetivo</w:t>
      </w:r>
    </w:p>
    <w:p>
      <w:pPr>
        <w:spacing w:after="160"/>
      </w:pPr>
      <w:r>
        <w:rPr>
          <w:rFonts w:ascii="Arial" w:hAnsi="Arial"/>
          <w:sz w:val="20"/>
        </w:rPr>
        <w:t xml:space="preserve">Avaliar a validade de conteúdo do PAM, verificando se as 90 habilidades, as instruções de aplicação de cada etapa (Anamnese, Avaliação Direta, PTI/monitoramento, Avaliação Pós-Intervenção e Pontuação/registro) e os critérios de pontuação (N/P/I/C) representam adequadamente os construtos que o instrumento se propõe a medir.</w:t>
      </w:r>
    </w:p>
    <w:p>
      <w:pPr>
        <w:pStyle w:val="Heading1"/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3. Perguntas-chave do estudo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>Relevância — cada habilidade é pertinente para o construto da competência em que está inserida e para o contexto de uso previsto do PAM?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 xml:space="preserve">Abrangência — o conjunto de habilidades de cada competência e segmento cobre adequadamente o domínio pretendido, sem lacunas importantes?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>Compreensibilidade/clareza — a redação das habilidades, opções de resposta e instruções é clara, precisa e sem ambiguidades no contexto de aplicação previsto do PAM?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>Somabilidade — de forma exploratória, o conjunto de habilidades parece clinicamente coerente para compor um escore da competência? Esta pergunta não será interpretada como evidência de unidimensionalidade ou validade estrutural.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 xml:space="preserve">Adequação procedural — as instruções de cada etapa do PAM (Anamnese, Avaliação Direta, PTI, Pós-Intervenção, Pontuação) são claras, relevantes e suficientes para orientar a aplicação?</w:t>
      </w:r>
    </w:p>
    <w:p>
      <w:pPr>
        <w:pStyle w:val="Heading1"/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4. O que está sendo avaliado</w:t>
      </w:r>
    </w:p>
    <w:p>
      <w:pPr>
        <w:spacing w:after="160"/>
      </w:pPr>
      <w:r>
        <w:rPr>
          <w:rFonts w:ascii="Arial" w:hAnsi="Arial"/>
          <w:sz w:val="20"/>
        </w:rPr>
        <w:t xml:space="preserve">O instrumento de coleta ("Instrumento de Avaliação por Especialistas") submete ao julgamento do painel: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>As 90 habilidades do PAM, quanto à relevância (escala 1–4), adequação à competência (Sim/Não) e clareza (escala 1–4), com justificativa recomendada para notas abaixo de 3. Respostas não preenchidas serão tratadas como dados ausentes, nunca como nota zero.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>Uma pergunta de abrangência ao final de cada uma das 15 competências e uma pergunta exploratória sobre somabilidade do escore. A somabilidade será usada apenas como informação qualitativa/descritiva para revisão do modelo de pontuação e não como demonstração de validade estrutural. Ao final de cada um dos três segmentos, haverá uma pergunta de abrangência mais ampla.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 xml:space="preserve">Os 16 itens de entrevista aberta e os 32 comportamentos em escala N/P/I/C da Anamnese, avaliados item a item da mesma forma que as 90 habilidades da Avaliação Direta.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 xml:space="preserve">As instruções procedurais de cada uma das 5 etapas do PAM (clareza, relevância e suficiência; e, no caso da Anamnese, também aplicabilidade), com pergunta sobre eventual orientação ausente.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 xml:space="preserve">A clareza, a mútua exclusividade e a aplicabilidade dos critérios de pontuação N/P/I/C.</w:t>
      </w:r>
    </w:p>
    <w:p>
      <w:pPr>
        <w:pStyle w:val="Heading1"/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5. Modelo de medida — 90 habilidades, 15 competências, 3 segmentos</w:t>
      </w:r>
    </w:p>
    <w:p>
      <w:pPr>
        <w:spacing w:after="160"/>
      </w:pPr>
      <w:r>
        <w:rPr>
          <w:rFonts w:ascii="Arial" w:hAnsi="Arial"/>
          <w:sz w:val="20"/>
        </w:rPr>
        <w:t xml:space="preserve">Cada segmento do PAM se subdivide em cinco competências (A a E), cada uma reunindo um conjunto de habilidades funcionalmente relacionadas. O quadro abaixo apresenta o construto/domínio que cada competência pretende representar — base utilizada pelo painel de especialistas para julgar a adequação das habilidades.</w:t>
      </w:r>
    </w:p>
    <w:tbl>
      <w:tblPr>
        <w:tblW w:type="dxa" w:w="9000"/>
        <w:tblBorders>
          <w:top w:val="single" w:color="B7CBB0" w:sz="4"/>
          <w:left w:val="single" w:color="B7CBB0" w:sz="4"/>
          <w:bottom w:val="single" w:color="B7CBB0" w:sz="4"/>
          <w:right w:val="single" w:color="B7CBB0" w:sz="4"/>
          <w:insideH w:val="single" w:color="B7CBB0" w:sz="4"/>
          <w:insideV w:val="single" w:color="B7CBB0" w:sz="4"/>
        </w:tblBorders>
      </w:tblPr>
      <w:tblGrid>
        <w:gridCol w:w="2200"/>
        <w:gridCol w:w="1200"/>
        <w:gridCol w:w="5600"/>
      </w:tblGrid>
      <w:tr>
        <w:trPr>
          <w:tblHeader w:val="true"/>
        </w:trPr>
        <w:tc>
          <w:tcPr>
            <w:tcW w:type="dxa" w:w="2200"/>
            <w:shd w:fill="6AA84F" w:color="auto" w:val="clear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rFonts w:ascii="Arial" w:hAnsi="Arial"/>
                <w:b/>
                <w:bCs/>
                <w:color w:val="FFFFFF"/>
                <w:sz w:val="18"/>
                <w:szCs w:val="19"/>
              </w:rPr>
              <w:t xml:space="preserve">Segmento</w:t>
            </w:r>
          </w:p>
        </w:tc>
        <w:tc>
          <w:tcPr>
            <w:tcW w:type="dxa" w:w="1200"/>
            <w:shd w:fill="6AA84F" w:color="auto" w:val="clear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rFonts w:ascii="Arial" w:hAnsi="Arial"/>
                <w:b/>
                <w:bCs/>
                <w:color w:val="FFFFFF"/>
                <w:sz w:val="18"/>
                <w:szCs w:val="19"/>
              </w:rPr>
              <w:t xml:space="preserve">Competência</w:t>
            </w:r>
          </w:p>
        </w:tc>
        <w:tc>
          <w:tcPr>
            <w:tcW w:type="dxa" w:w="5600"/>
            <w:shd w:fill="6AA84F" w:color="auto" w:val="clear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rFonts w:ascii="Arial" w:hAnsi="Arial"/>
                <w:b/>
                <w:bCs/>
                <w:color w:val="FFFFFF"/>
                <w:sz w:val="18"/>
                <w:szCs w:val="19"/>
              </w:rPr>
              <w:t xml:space="preserve">Construto/domínio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Habilidades Básicas</w:t>
            </w:r>
          </w:p>
        </w:tc>
        <w:tc>
          <w:tcPr>
            <w:tcW w:type="dxa" w:w="1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56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Atenção e orientação perceptiva ao estímulo sonoro-musical.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B</w:t>
            </w:r>
          </w:p>
        </w:tc>
        <w:tc>
          <w:tcPr>
            <w:tcW w:type="dxa" w:w="56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Engajamento instrumental e atenção compartilhada.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C</w:t>
            </w:r>
          </w:p>
        </w:tc>
        <w:tc>
          <w:tcPr>
            <w:tcW w:type="dxa" w:w="56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Imitação motora, instrumental e orofacial.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56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Compreensão e seguimento de instruções verbais de complexidade crescente.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E</w:t>
            </w:r>
          </w:p>
        </w:tc>
        <w:tc>
          <w:tcPr>
            <w:tcW w:type="dxa" w:w="56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Pareamento e leitura simbólica adaptada.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Segmento Vocal</w:t>
            </w:r>
          </w:p>
        </w:tc>
        <w:tc>
          <w:tcPr>
            <w:tcW w:type="dxa" w:w="1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56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Vocalização intencional inicial (imperativa e declarativa) e vocalização musical.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B</w:t>
            </w:r>
          </w:p>
        </w:tc>
        <w:tc>
          <w:tcPr>
            <w:tcW w:type="dxa" w:w="56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Funções comunicativas não verbais e vocais iniciais (pedir, oferecer, mostrar, nomear).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C</w:t>
            </w:r>
          </w:p>
        </w:tc>
        <w:tc>
          <w:tcPr>
            <w:tcW w:type="dxa" w:w="56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Complexidade fonológica da produção vocal no canto.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56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Nomeação/reconhecimento verbal de estímulos musicais.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E</w:t>
            </w:r>
          </w:p>
        </w:tc>
        <w:tc>
          <w:tcPr>
            <w:tcW w:type="dxa" w:w="56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Produção verbal cantada e compreensão de perguntas em contexto musical.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Segmento Social</w:t>
            </w:r>
          </w:p>
        </w:tc>
        <w:tc>
          <w:tcPr>
            <w:tcW w:type="dxa" w:w="1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56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Simbolização musical (notação, cores, pictogramas e musicogramas).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B</w:t>
            </w:r>
          </w:p>
        </w:tc>
        <w:tc>
          <w:tcPr>
            <w:tcW w:type="dxa" w:w="56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Elaboração emocional, reflexiva e criativa por meio da música.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C</w:t>
            </w:r>
          </w:p>
        </w:tc>
        <w:tc>
          <w:tcPr>
            <w:tcW w:type="dxa" w:w="56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Percepção e reprodução de parâmetros sonoros (dinâmica, altura, andamento e timbre).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56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Regulação e reciprocidade de turnos na improvisação (liderar/seguir).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E</w:t>
            </w:r>
          </w:p>
        </w:tc>
        <w:tc>
          <w:tcPr>
            <w:tcW w:type="dxa" w:w="560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r>
              <w:rPr>
                <w:rFonts w:ascii="Arial" w:hAnsi="Arial"/>
                <w:b w:val="false"/>
                <w:bCs w:val="false"/>
                <w:sz w:val="19"/>
                <w:szCs w:val="19"/>
              </w:rPr>
              <w:t xml:space="preserve">Participação social e colaborativa em experiências musicais com pares.</w:t>
            </w:r>
          </w:p>
        </w:tc>
      </w:tr>
    </w:tbl>
    <w:p>
      <w:pPr>
        <w:spacing w:after="200"/>
      </w:pPr>
    </w:p>
    <w:p>
      <w:pPr>
        <w:pStyle w:val="Heading1"/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6. Delineamento metodológico</w:t>
      </w:r>
    </w:p>
    <w:p>
      <w:pPr>
        <w:spacing w:after="160"/>
      </w:pPr>
      <w:r>
        <w:rPr>
          <w:rFonts w:ascii="Arial" w:hAnsi="Arial"/>
          <w:sz w:val="20"/>
        </w:rPr>
        <w:t>O estudo integra componentes quantitativo e qualitativo em uma mesma rodada inicial de julgamento, com possibilidade de segunda rodada após revisões substantivas:</w:t>
      </w:r>
    </w:p>
    <w:p>
      <w:pPr>
        <w:spacing w:after="160"/>
      </w:pPr>
      <w:r>
        <w:rPr>
          <w:rFonts w:ascii="Arial" w:hAnsi="Arial"/>
          <w:b/>
          <w:bCs/>
          <w:sz w:val="20"/>
        </w:rPr>
        <w:t>6.1 Coleta de dados — rodada inicial</w:t>
      </w:r>
    </w:p>
    <w:p>
      <w:pPr>
        <w:spacing w:after="160"/>
      </w:pPr>
      <w:r>
        <w:rPr>
          <w:rFonts w:ascii="Arial" w:hAnsi="Arial"/>
          <w:sz w:val="20"/>
        </w:rPr>
        <w:t>Painel planejado de 7 a 10 especialistas, selecionados intencionalmente, avalia de forma independente o instrumento completo. Cada juiz atribui notas às escalas previstas e registra justificativas/sugestões. Os juízes não terão acesso às respostas dos demais antes do encerramento da rodada. A composição multiprofissional inclui participação majoritária de musicoterapeutas e profissionais de áreas relacionadas aos construtos do PAM.</w:t>
      </w:r>
    </w:p>
    <w:p>
      <w:pPr>
        <w:spacing w:after="160"/>
      </w:pPr>
      <w:r>
        <w:rPr>
          <w:rFonts w:ascii="Arial" w:hAnsi="Arial"/>
          <w:b/>
          <w:bCs/>
          <w:sz w:val="20"/>
        </w:rPr>
        <w:t>6.2 Análise integrada quantitativa e qualitativa</w:t>
      </w:r>
    </w:p>
    <w:p>
      <w:pPr>
        <w:spacing w:after="160"/>
      </w:pPr>
      <w:r>
        <w:rPr>
          <w:rFonts w:ascii="Arial" w:hAnsi="Arial"/>
          <w:sz w:val="20"/>
        </w:rPr>
        <w:t>As pontuações de relevância e clareza serão analisadas separadamente por item. O I-CVI será calculado prioritariamente para relevância e, de forma complementar, para clareza. As justificativas e sugestões serão submetidas à análise qualitativa e interpretadas em conjunto com os resultados numéricos. Alterações substantivas de conteúdo, construto, critério ou redação operacional deverão ser submetidas a nova rodada de julgamento, sem reutilizar automaticamente os índices obtidos para a versão anterior.</w:t>
      </w:r>
    </w:p>
    <w:p>
      <w:pPr>
        <w:pStyle w:val="Heading1"/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7. Seleção do painel de especialistas</w:t>
      </w:r>
    </w:p>
    <w:p>
      <w:pPr>
        <w:spacing w:after="160"/>
      </w:pPr>
      <w:r>
        <w:rPr>
          <w:rFonts w:ascii="Arial" w:hAnsi="Arial"/>
          <w:sz w:val="20"/>
        </w:rPr>
        <w:t>Composição: 7 a 10 juízes selecionados intencionalmente por formação e experiência clínica, acadêmica ou científica relacionada aos domínios avaliados pelo PAM, com participação majoritária de musicoterapeutas e complementação por profissionais de áreas relacionadas, como fonoaudiologia, terapia ocupacional, psicologia do desenvolvimento, análise do comportamento e medicina/neuropediatria, conforme disponibilidade e pertinência. O autor do instrumento não integra o painel de juízes independentes.</w:t>
      </w:r>
    </w:p>
    <w:p>
      <w:pPr>
        <w:spacing w:after="160"/>
      </w:pPr>
      <w:r>
        <w:rPr>
          <w:rFonts w:ascii="Arial" w:hAnsi="Arial"/>
          <w:sz w:val="20"/>
        </w:rPr>
        <w:t xml:space="preserve">Critérios de elegibilidade: formação superior concluída em área pertinente e, no mínimo, 2 anos de experiência relacionada, atendendo a pelo menos 2 dos seguintes critérios complementares: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 xml:space="preserve">Experiência clínica nos domínios avaliados pelo PAM (comunicação verbal/não verbal, desenvolvimento infantojuvenil, TEA);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 xml:space="preserve">Atuação em desenvolvimento e comunicação;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 xml:space="preserve">Pós-graduação pertinente (especialização, mestrado, doutorado);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 xml:space="preserve">Experiência docente ou de pesquisa na área;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 xml:space="preserve">Produção científica relacionada aos domínios do PAM;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 xml:space="preserve">Experiência prévia em construção e/ou validação de instrumentos de avaliação.</w:t>
      </w:r>
    </w:p>
    <w:p>
      <w:pPr>
        <w:spacing w:after="160"/>
      </w:pPr>
      <w:r>
        <w:rPr>
          <w:rFonts w:ascii="Arial" w:hAnsi="Arial"/>
          <w:sz w:val="20"/>
        </w:rPr>
        <w:t xml:space="preserve">A caracterização de cada especialista (formação, titulação, área de especialização, tempo de experiência, população atendida, experiência clínica em comunicação e desenvolvimento, experiência em musicoterapia e experiência em construção/validação de instrumentos) é coletada no próprio Instrumento de Avaliação por Especialistas.</w:t>
      </w:r>
    </w:p>
    <w:p>
      <w:r>
        <w:rPr>
          <w:sz w:val="18"/>
        </w:rPr>
        <w:t>Princípio de julgamento multiprofissional: o PAM é destinado à aplicação clínica por musicoterapeutas, porém os juízes avaliam o conteúdo a partir de sua própria expertise. As perguntas do instrumento foram redigidas para não pressupor que o juiz seja o aplicador. Menções ao musicoterapeuta dentro das habilidades permanecem quando fazem parte do contexto clínico observado.</w:t>
      </w:r>
    </w:p>
    <w:p>
      <w:pPr>
        <w:pStyle w:val="Heading1"/>
      </w:pPr>
      <w:r>
        <w:rPr>
          <w:b/>
        </w:rPr>
        <w:t>7.1 Revisão e eventual segunda rodada</w:t>
      </w:r>
    </w:p>
    <w:p>
      <w:r>
        <w:t>Após a análise conjunta das notas e justificativas, alterações meramente editoriais poderão ser documentadas sem nova rodada. Alterações substantivas — inclusão/exclusão de habilidade, mudança de construto, mudança do critério operacional ou reformulação que altere o significado — deverão ser submetidas novamente a especialistas, preferencialmente ao mesmo painel, para julgamento da versão revisada.</w:t>
      </w:r>
    </w:p>
    <w:p>
      <w:pPr>
        <w:pStyle w:val="Heading1"/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8. Análise dos dados</w:t>
      </w:r>
    </w:p>
    <w:p>
      <w:pPr>
        <w:spacing w:after="160"/>
      </w:pPr>
      <w:r>
        <w:rPr>
          <w:rFonts w:ascii="Arial" w:hAnsi="Arial"/>
          <w:sz w:val="20"/>
        </w:rPr>
        <w:t>Índice de Validade de Conteúdo por item (I-CVI): proporção de respostas válidas com nota 3 ou 4 na escala de relevância de 1 a 4. O número de respostas válidas (n) será informado para cada item. Respostas em branco não serão convertidas em zero e não entrarão no denominador.</w:t>
      </w:r>
    </w:p>
    <w:p>
      <w:pPr>
        <w:spacing w:after="160"/>
      </w:pPr>
      <w:r>
        <w:rPr>
          <w:rFonts w:ascii="Arial" w:hAnsi="Arial"/>
          <w:i/>
          <w:iCs/>
          <w:sz w:val="20"/>
        </w:rPr>
        <w:t>I-CVI = (nº de especialistas com resposta válida que atribuíram nota 3 ou 4) ÷ (nº de respostas válidas ao item)</w:t>
      </w:r>
    </w:p>
    <w:p>
      <w:pPr>
        <w:spacing w:after="160"/>
      </w:pPr>
      <w:r>
        <w:rPr>
          <w:rFonts w:ascii="Arial" w:hAnsi="Arial"/>
          <w:sz w:val="20"/>
        </w:rPr>
        <w:t>Índice de Validade de Conteúdo do instrumento (S-CVI/Ave): média dos I-CVI, calculada separadamente para os principais componentes do PAM (90 habilidades, Anamnese e instruções procedurais). Um indicador global poderá ser apresentado apenas como síntese descritiva, sem substituir a análise por componente. O S-CVI/UA poderá ser apresentado como informação complementar, reconhecendo seu caráter mais rigoroso.</w:t>
      </w:r>
    </w:p>
    <w:p>
      <w:pPr>
        <w:spacing w:after="160"/>
      </w:pPr>
      <w:r>
        <w:rPr>
          <w:rFonts w:ascii="Arial" w:hAnsi="Arial"/>
          <w:sz w:val="20"/>
        </w:rPr>
        <w:t>Regra de decisão: I-CVI ≥ 0,78 será utilizado como referência de adequação quando compatível com o número de avaliadores válidos do item. Valores abaixo desse ponto serão obrigatoriamente revistos à luz das justificativas qualitativas. Nenhum item será excluído apenas por um ponto de corte numérico; decisões de manutenção, reformulação ou exclusão considerarão o construto, a cobertura do domínio, a magnitude da alteração proposta e o número efetivo de respostas válidas.</w:t>
      </w:r>
    </w:p>
    <w:p>
      <w:pPr>
        <w:spacing w:after="160"/>
      </w:pPr>
      <w:r>
        <w:rPr>
          <w:rFonts w:ascii="Arial" w:hAnsi="Arial"/>
          <w:sz w:val="20"/>
        </w:rPr>
        <w:t>As respostas de adequação à competência (Sim/Não), abrangência e perguntas sobre os critérios N/P/I/C serão analisadas por frequências e justificativas. A pergunta de somabilidade será tratada como exploração clínica do modelo de escore, sem ser usada para afirmar unidimensionalidade, consistência interna ou validade estrutural.</w:t>
      </w:r>
    </w:p>
    <w:p>
      <w:pPr>
        <w:pStyle w:val="Heading1"/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9. Procedimentos éticos</w:t>
      </w:r>
    </w:p>
    <w:p>
      <w:pPr>
        <w:spacing w:after="160"/>
      </w:pPr>
      <w:r>
        <w:rPr>
          <w:rFonts w:ascii="Arial" w:hAnsi="Arial"/>
          <w:sz w:val="20"/>
        </w:rPr>
        <w:t>A participação dos especialistas é voluntária, mediante TCLE. Cada participante receberá um código de identificação para análise. Os dados identificáveis serão separados das bases analíticas sempre que operacionalmente possível, e o acesso aos arquivos individuais ficará restrito à equipe autorizada. O tratamento, armazenamento e retenção dos dados seguirão o protocolo da pesquisa e as exigências éticas e institucionais aplicáveis.</w:t>
      </w:r>
    </w:p>
    <w:p>
      <w:pPr>
        <w:pStyle w:val="Heading1"/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10. Sequência de estudos de propriedades de medida do PAM</w:t>
      </w:r>
    </w:p>
    <w:p>
      <w:pPr>
        <w:spacing w:after="160"/>
      </w:pPr>
      <w:r>
        <w:rPr>
          <w:rFonts w:ascii="Arial" w:hAnsi="Arial"/>
          <w:sz w:val="20"/>
        </w:rPr>
        <w:t xml:space="preserve">Este protocolo cobre a etapa 1. As etapas seguintes, cada uma condicionada aos resultados da anterior, estão previstas na seguinte ordem:</w:t>
      </w:r>
    </w:p>
    <w:p>
      <w:pPr>
        <w:pStyle w:val="ListParagraph"/>
        <w:numPr>
          <w:ilvl w:val="0"/>
          <w:numId w:val="1"/>
        </w:numPr>
        <w:spacing w:after="60" w:before="140"/>
      </w:pPr>
      <w:r>
        <w:rPr>
          <w:rFonts w:ascii="Arial" w:hAnsi="Arial"/>
          <w:b/>
          <w:color w:val="355E2B"/>
          <w:sz w:val="22"/>
        </w:rPr>
        <w:t>1. Validade de conteúdo (este protocolo) — relevância, abrangência e clareza/compreensibilidade, integrando julgamento quantitativo e qualitativo de especialistas; revisões substantivas poderão exigir nova rodada.</w:t>
      </w:r>
    </w:p>
    <w:p>
      <w:pPr>
        <w:pStyle w:val="ListParagraph"/>
        <w:numPr>
          <w:ilvl w:val="0"/>
          <w:numId w:val="1"/>
        </w:numPr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2. Confiabilidade interavaliadores — concordância entre dois musicoterapeutas aplicando o PAM ao mesmo paciente/material.</w:t>
      </w:r>
    </w:p>
    <w:p>
      <w:pPr>
        <w:pStyle w:val="ListParagraph"/>
        <w:numPr>
          <w:ilvl w:val="0"/>
          <w:numId w:val="1"/>
        </w:numPr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3. Confiabilidade intra-avaliador (quando pertinente) — estabilidade da pontuação do mesmo avaliador em reaplicação cega do mesmo material.</w:t>
      </w:r>
    </w:p>
    <w:p>
      <w:pPr>
        <w:pStyle w:val="ListParagraph"/>
        <w:numPr>
          <w:ilvl w:val="0"/>
          <w:numId w:val="1"/>
        </w:numPr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4. Erro de medida — estimativa de quanto a pontuação pode oscilar sem que haja mudança clínica real, base para o cálculo da menor diferença detectável (MDC).</w:t>
      </w:r>
    </w:p>
    <w:p>
      <w:pPr>
        <w:pStyle w:val="ListParagraph"/>
        <w:numPr>
          <w:ilvl w:val="0"/>
          <w:numId w:val="1"/>
        </w:numPr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5. Validade de construto — teste de hipóteses sobre o comportamento esperado dos escores (ex.: pacientes com repertório comunicativo clinicamente mais desenvolvido devem apresentar pontuações mais altas em competências específicas do PAM), podendo incluir, conforme viabilidade amostral, análise da estrutura interna/dimensionalidade das competências.</w:t>
      </w:r>
    </w:p>
    <w:p>
      <w:pPr>
        <w:pStyle w:val="ListParagraph"/>
        <w:numPr>
          <w:ilvl w:val="0"/>
          <w:numId w:val="1"/>
        </w:numPr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6. Responsividade — capacidade do PAM de detectar mudança real ao longo do tempo (comparação Pré/Pós), interpretada sempre à luz do erro de medida estabelecido na etapa 4, para distinguir mudança verdadeira de variabilidade da medida.</w:t>
      </w:r>
    </w:p>
    <w:p>
      <w:pPr>
        <w:spacing w:after="160"/>
      </w:pPr>
      <w:r>
        <w:rPr>
          <w:rFonts w:ascii="Arial" w:hAnsi="Arial"/>
          <w:sz w:val="20"/>
        </w:rPr>
        <w:t xml:space="preserve">Estatísticas específicas de cada etapa (ex.: ICC para confiabilidade, coeficientes de erro-padrão de medida, testes de hipótese para validade de construto) serão definidas no protocolo de cada etapa correspondente, após a conclusão e eventual revisão do instrumento decorrente da etapa de validade de conteúdo.</w:t>
      </w:r>
    </w:p>
    <w:p>
      <w:pPr>
        <w:pStyle w:val="Heading1"/>
        <w:spacing w:after="120" w:before="280"/>
      </w:pPr>
      <w:r>
        <w:rPr>
          <w:rFonts w:ascii="Arial" w:hAnsi="Arial"/>
          <w:sz w:val="20"/>
        </w:rPr>
        <w:t xml:space="preserve">Referências</w:t>
      </w:r>
    </w:p>
    <w:p>
      <w:pPr>
        <w:spacing w:after="160"/>
      </w:pPr>
      <w:r>
        <w:rPr>
          <w:rFonts w:ascii="Arial" w:hAnsi="Arial"/>
          <w:sz w:val="20"/>
        </w:rPr>
        <w:t xml:space="preserve">COSMIN. (s.d.). COSMIN: Improving the selection of outcome measurement instruments. Recuperado em 20 de agosto de 2026, de https://www.cosmin.nl/</w:t>
      </w:r>
    </w:p>
    <w:p>
      <w:pPr>
        <w:spacing w:after="160"/>
      </w:pPr>
      <w:r>
        <w:rPr>
          <w:rFonts w:ascii="Arial" w:hAnsi="Arial"/>
          <w:sz w:val="20"/>
        </w:rPr>
        <w:t xml:space="preserve">Mokkink, L. B., Elsman, E., &amp; Terwee, C. B. (2024). COSMIN manual for systematic reviews of PROMs: Version 2.0. COSMIN.</w:t>
      </w:r>
    </w:p>
    <w:p>
      <w:pPr>
        <w:spacing w:after="160"/>
      </w:pPr>
      <w:r>
        <w:rPr>
          <w:rFonts w:ascii="Arial" w:hAnsi="Arial"/>
          <w:sz w:val="20"/>
        </w:rPr>
        <w:t xml:space="preserve">Mokkink, L. B., Herbelet, S., Tuinman, P. R., &amp; Terwee, C. B. (2025). Content validity: Judging the relevance, comprehensiveness, and comprehensibility of an outcome measurement instrument — A COSMIN perspective. Journal of Clinical Epidemiology, 185, 111879.</w:t>
      </w:r>
    </w:p>
    <w:p>
      <w:pPr>
        <w:spacing w:after="160"/>
      </w:pPr>
      <w:r>
        <w:rPr>
          <w:rFonts w:ascii="Arial" w:hAnsi="Arial"/>
          <w:sz w:val="20"/>
        </w:rPr>
        <w:t xml:space="preserve">Mokkink, L. B., &amp; Eekhout, I. (2026). The measurement properties reliability and measurement error explained: A COSMIN perspective. Journal of Clinical Epidemiology, 190, 112058.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